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59" w:rsidRDefault="00545E59">
      <w:pPr>
        <w:pStyle w:val="Heading1"/>
        <w:spacing w:before="66" w:line="278" w:lineRule="auto"/>
        <w:ind w:left="808" w:right="810" w:hanging="1"/>
        <w:jc w:val="center"/>
      </w:pPr>
      <w:r>
        <w:t>Апробационная программа экспериментальных площадок Федерального государственного бюджетного научного</w:t>
      </w:r>
      <w:r>
        <w:rPr>
          <w:spacing w:val="-30"/>
        </w:rPr>
        <w:t xml:space="preserve"> </w:t>
      </w:r>
      <w:r>
        <w:t>учреждения</w:t>
      </w:r>
    </w:p>
    <w:p w:rsidR="00545E59" w:rsidRDefault="00545E59">
      <w:pPr>
        <w:spacing w:line="278" w:lineRule="auto"/>
        <w:ind w:left="487" w:right="4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«Институт изучения детства, семьи и воспитания Российской академии образования»</w:t>
      </w:r>
    </w:p>
    <w:p w:rsidR="00545E59" w:rsidRDefault="00545E59">
      <w:pPr>
        <w:pStyle w:val="BodyText"/>
        <w:spacing w:line="307" w:lineRule="exact"/>
        <w:ind w:left="487" w:right="488"/>
        <w:jc w:val="center"/>
      </w:pPr>
      <w:r>
        <w:t>по теме:</w:t>
      </w:r>
    </w:p>
    <w:p w:rsidR="00545E59" w:rsidRDefault="00545E59">
      <w:pPr>
        <w:pStyle w:val="BodyText"/>
        <w:spacing w:before="5"/>
        <w:jc w:val="left"/>
        <w:rPr>
          <w:sz w:val="36"/>
          <w:szCs w:val="36"/>
        </w:rPr>
      </w:pPr>
    </w:p>
    <w:p w:rsidR="00545E59" w:rsidRDefault="00545E59">
      <w:pPr>
        <w:spacing w:before="1" w:line="278" w:lineRule="auto"/>
        <w:ind w:left="600" w:right="601" w:firstLine="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«Формирование у детей готовности к изучению технических наук средствами парциальной образовательной программы «От Фребеля до робота» в соответствии с ФГОС дошкольного образования»</w:t>
      </w:r>
    </w:p>
    <w:p w:rsidR="00545E59" w:rsidRDefault="00545E59">
      <w:pPr>
        <w:pStyle w:val="BodyText"/>
        <w:spacing w:before="10"/>
        <w:jc w:val="left"/>
        <w:rPr>
          <w:b/>
          <w:bCs/>
          <w:i/>
          <w:iCs/>
          <w:sz w:val="30"/>
          <w:szCs w:val="30"/>
        </w:rPr>
      </w:pPr>
    </w:p>
    <w:p w:rsidR="00545E59" w:rsidRDefault="00545E59">
      <w:pPr>
        <w:pStyle w:val="Heading1"/>
        <w:numPr>
          <w:ilvl w:val="0"/>
          <w:numId w:val="1"/>
        </w:numPr>
        <w:tabs>
          <w:tab w:val="left" w:pos="397"/>
        </w:tabs>
        <w:ind w:hanging="285"/>
      </w:pPr>
      <w:r>
        <w:t>Актуальность</w:t>
      </w:r>
      <w:r>
        <w:rPr>
          <w:spacing w:val="1"/>
        </w:rPr>
        <w:t xml:space="preserve"> </w:t>
      </w:r>
      <w:r>
        <w:t>программы</w:t>
      </w:r>
    </w:p>
    <w:p w:rsidR="00545E59" w:rsidRDefault="00545E59">
      <w:pPr>
        <w:pStyle w:val="BodyText"/>
        <w:spacing w:before="42"/>
        <w:ind w:left="112" w:right="114" w:firstLine="708"/>
      </w:pPr>
      <w:r>
        <w:t>В настоящее время в рамках совершенствования региональной системы профориентации и подготовки квалифицированных инженерно-технических кадров для высокотехнологичных отраслей особое значение приобретает практическое решение проблем, связанных с возвращением массового интереса молодежи к научно-техническому творчеству.</w:t>
      </w:r>
    </w:p>
    <w:p w:rsidR="00545E59" w:rsidRDefault="00545E59">
      <w:pPr>
        <w:pStyle w:val="BodyText"/>
        <w:ind w:left="112" w:right="113" w:firstLine="708"/>
      </w:pPr>
      <w:r>
        <w:t xml:space="preserve">Очень важно на ранних шагах выявить технические наклонности учащихся и развивать их в этом направлении. Это позволит выстроить модель преемственного обучения для всех возрастов – от воспитанников детского сада </w:t>
      </w:r>
      <w:r>
        <w:rPr>
          <w:spacing w:val="2"/>
        </w:rPr>
        <w:t xml:space="preserve">до </w:t>
      </w:r>
      <w:r>
        <w:t>студентов.</w:t>
      </w:r>
    </w:p>
    <w:p w:rsidR="00545E59" w:rsidRDefault="00545E59">
      <w:pPr>
        <w:pStyle w:val="BodyText"/>
        <w:ind w:left="112" w:right="114" w:firstLine="707"/>
      </w:pPr>
      <w:r>
        <w:t>Подобная преемственность становится жизненно необходимой в рамках решения задач подготовки инженерных кадров. Ведь, по данным педагогов и социологов, ребенок, который не познакомился с основами технической деятельности до 7-8 лет, в большинстве случаев не свяжет свою будущую профессию с техникой.</w:t>
      </w:r>
    </w:p>
    <w:p w:rsidR="00545E59" w:rsidRDefault="00545E59">
      <w:pPr>
        <w:pStyle w:val="BodyText"/>
        <w:spacing w:before="1"/>
        <w:ind w:left="112" w:right="112" w:firstLine="708"/>
      </w:pPr>
      <w:r>
        <w:t>Реализация модели технологического образования требует соответствующих методик. Найти место изучению технических наук в структуре образовательного процесса дошкольной образовательной организации в полном соответствии с ФГОС – задача абсолютно новая и сложная, требующая детальной, глубокой работы по изучению и построению принципиально нового содержания образования.</w:t>
      </w:r>
    </w:p>
    <w:p w:rsidR="00545E59" w:rsidRDefault="00545E59">
      <w:pPr>
        <w:pStyle w:val="BodyText"/>
        <w:ind w:left="112" w:right="109" w:firstLine="708"/>
      </w:pPr>
      <w:r>
        <w:t>Решение данной проблемы позволит на федеральном уровне апробировать инновационную систему подготовки детей к изучению технических наук, которая призвана в будущем облегчить выбор детьми уже в среднем звене школы технического образовательного профиля и в дальнейшем успешно самоопределиться в выборе будущей профессии технической направленности.</w:t>
      </w:r>
    </w:p>
    <w:p w:rsidR="00545E59" w:rsidRDefault="00545E59">
      <w:pPr>
        <w:pStyle w:val="BodyText"/>
        <w:spacing w:before="5"/>
        <w:jc w:val="left"/>
        <w:rPr>
          <w:sz w:val="26"/>
          <w:szCs w:val="26"/>
        </w:rPr>
      </w:pPr>
    </w:p>
    <w:p w:rsidR="00545E59" w:rsidRDefault="00545E59">
      <w:pPr>
        <w:pStyle w:val="Heading1"/>
        <w:numPr>
          <w:ilvl w:val="0"/>
          <w:numId w:val="1"/>
        </w:numPr>
        <w:tabs>
          <w:tab w:val="left" w:pos="396"/>
        </w:tabs>
        <w:ind w:left="395"/>
      </w:pPr>
      <w:r>
        <w:t>Сфера апробации программы</w:t>
      </w:r>
    </w:p>
    <w:p w:rsidR="00545E59" w:rsidRDefault="00545E59">
      <w:pPr>
        <w:pStyle w:val="BodyText"/>
        <w:spacing w:before="42"/>
        <w:ind w:left="820"/>
        <w:jc w:val="left"/>
      </w:pPr>
      <w:r>
        <w:t>Образовательное пространство системы дошкольного образования</w:t>
      </w:r>
    </w:p>
    <w:p w:rsidR="00545E59" w:rsidRDefault="00545E59">
      <w:pPr>
        <w:sectPr w:rsidR="00545E59">
          <w:type w:val="continuous"/>
          <w:pgSz w:w="11910" w:h="16840"/>
          <w:pgMar w:top="540" w:right="740" w:bottom="280" w:left="1020" w:header="720" w:footer="720" w:gutter="0"/>
          <w:cols w:space="720"/>
        </w:sectPr>
      </w:pPr>
    </w:p>
    <w:p w:rsidR="00545E59" w:rsidRDefault="00545E59">
      <w:pPr>
        <w:pStyle w:val="Heading1"/>
        <w:numPr>
          <w:ilvl w:val="0"/>
          <w:numId w:val="1"/>
        </w:numPr>
        <w:tabs>
          <w:tab w:val="left" w:pos="396"/>
        </w:tabs>
        <w:spacing w:before="66"/>
        <w:ind w:left="395"/>
      </w:pPr>
      <w:r>
        <w:t>Аудитория</w:t>
      </w:r>
      <w:r>
        <w:rPr>
          <w:spacing w:val="1"/>
        </w:rPr>
        <w:t xml:space="preserve"> </w:t>
      </w:r>
      <w:r>
        <w:t>программы</w:t>
      </w:r>
    </w:p>
    <w:p w:rsidR="00545E59" w:rsidRDefault="00545E59">
      <w:pPr>
        <w:pStyle w:val="BodyText"/>
        <w:spacing w:before="42"/>
        <w:ind w:left="111" w:right="116" w:firstLine="708"/>
      </w:pPr>
      <w:r>
        <w:t>Педагоги старших и подготовительных к школе групп, воспитанники старшего дошкольного возраста, методическая служба дошкольных образовательных организаций.</w:t>
      </w:r>
    </w:p>
    <w:p w:rsidR="00545E59" w:rsidRDefault="00545E59">
      <w:pPr>
        <w:pStyle w:val="BodyText"/>
        <w:spacing w:before="8"/>
        <w:jc w:val="left"/>
      </w:pPr>
    </w:p>
    <w:p w:rsidR="00545E59" w:rsidRDefault="00545E59">
      <w:pPr>
        <w:pStyle w:val="Heading1"/>
        <w:numPr>
          <w:ilvl w:val="0"/>
          <w:numId w:val="1"/>
        </w:numPr>
        <w:tabs>
          <w:tab w:val="left" w:pos="396"/>
        </w:tabs>
        <w:spacing w:before="1" w:line="317" w:lineRule="exact"/>
        <w:ind w:left="395" w:hanging="285"/>
      </w:pPr>
      <w:r>
        <w:t>Цели и</w:t>
      </w:r>
      <w:r>
        <w:rPr>
          <w:spacing w:val="-1"/>
        </w:rPr>
        <w:t xml:space="preserve"> </w:t>
      </w:r>
      <w:r>
        <w:t>задачи</w:t>
      </w:r>
    </w:p>
    <w:p w:rsidR="00545E59" w:rsidRDefault="00545E59">
      <w:pPr>
        <w:pStyle w:val="BodyText"/>
        <w:ind w:left="111" w:right="116" w:firstLine="708"/>
      </w:pPr>
      <w:r>
        <w:t>Основной целью является разработка системы формирования у детей готовности к изучению технических наук средствами игрового оборудования в соответствии с ФГОС дошкольного образования.</w:t>
      </w:r>
    </w:p>
    <w:p w:rsidR="00545E59" w:rsidRDefault="00545E59">
      <w:pPr>
        <w:pStyle w:val="BodyText"/>
        <w:spacing w:before="4"/>
        <w:jc w:val="left"/>
        <w:rPr>
          <w:sz w:val="32"/>
          <w:szCs w:val="32"/>
        </w:rPr>
      </w:pPr>
    </w:p>
    <w:p w:rsidR="00545E59" w:rsidRDefault="00545E59">
      <w:pPr>
        <w:pStyle w:val="Heading1"/>
        <w:spacing w:before="1"/>
        <w:ind w:left="111"/>
        <w:jc w:val="left"/>
      </w:pPr>
      <w:r>
        <w:t>Задачи:</w:t>
      </w:r>
    </w:p>
    <w:p w:rsidR="00545E59" w:rsidRDefault="00545E59">
      <w:pPr>
        <w:pStyle w:val="ListParagraph"/>
        <w:numPr>
          <w:ilvl w:val="1"/>
          <w:numId w:val="1"/>
        </w:numPr>
        <w:tabs>
          <w:tab w:val="left" w:pos="1228"/>
        </w:tabs>
        <w:spacing w:before="42"/>
        <w:ind w:right="114" w:firstLine="708"/>
        <w:rPr>
          <w:sz w:val="28"/>
          <w:szCs w:val="28"/>
        </w:rPr>
      </w:pPr>
      <w:r>
        <w:rPr>
          <w:sz w:val="28"/>
          <w:szCs w:val="28"/>
        </w:rPr>
        <w:t>организовать в образовательном пространстве системы дошкольного образования предметную игровую техносреду, адекватную современным требованиям к политехнической подготовке детей (ее содержанию, материально- техническому, организационно-методическому и дидактическому обеспечению) и их возрастным особенностям в условиях реализации ФГОС дошкольного образования;</w:t>
      </w:r>
    </w:p>
    <w:p w:rsidR="00545E59" w:rsidRDefault="00545E59">
      <w:pPr>
        <w:pStyle w:val="ListParagraph"/>
        <w:numPr>
          <w:ilvl w:val="1"/>
          <w:numId w:val="1"/>
        </w:numPr>
        <w:tabs>
          <w:tab w:val="left" w:pos="1372"/>
        </w:tabs>
        <w:ind w:right="116" w:firstLine="708"/>
        <w:rPr>
          <w:sz w:val="28"/>
          <w:szCs w:val="28"/>
        </w:rPr>
      </w:pPr>
      <w:r>
        <w:rPr>
          <w:sz w:val="28"/>
          <w:szCs w:val="28"/>
        </w:rPr>
        <w:t>развивать методическую компетентность педагогов в области технического творчества детей дошкольного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возраста;</w:t>
      </w:r>
    </w:p>
    <w:p w:rsidR="00545E59" w:rsidRDefault="00545E59">
      <w:pPr>
        <w:pStyle w:val="ListParagraph"/>
        <w:numPr>
          <w:ilvl w:val="1"/>
          <w:numId w:val="1"/>
        </w:numPr>
        <w:tabs>
          <w:tab w:val="left" w:pos="1316"/>
        </w:tabs>
        <w:ind w:right="113" w:firstLine="707"/>
        <w:rPr>
          <w:sz w:val="28"/>
          <w:szCs w:val="28"/>
        </w:rPr>
      </w:pPr>
      <w:r>
        <w:rPr>
          <w:sz w:val="28"/>
          <w:szCs w:val="28"/>
        </w:rPr>
        <w:t>формировать основы технической грамотности воспитанников и техническую компетентность воспитанников как готовность к решению задач прикладного характера, связанных с использованием технических умений в специфических для определённого возраста видах детской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 w:rsidR="00545E59" w:rsidRDefault="00545E59">
      <w:pPr>
        <w:pStyle w:val="ListParagraph"/>
        <w:numPr>
          <w:ilvl w:val="1"/>
          <w:numId w:val="1"/>
        </w:numPr>
        <w:tabs>
          <w:tab w:val="left" w:pos="1201"/>
        </w:tabs>
        <w:ind w:left="112" w:right="115" w:firstLine="707"/>
        <w:rPr>
          <w:sz w:val="28"/>
          <w:szCs w:val="28"/>
        </w:rPr>
      </w:pPr>
      <w:r>
        <w:rPr>
          <w:sz w:val="28"/>
          <w:szCs w:val="28"/>
        </w:rPr>
        <w:t>обеспечить освоение детьми начального опыта работы с отдельными техническими объектами (в виде игрового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оборудования);</w:t>
      </w:r>
    </w:p>
    <w:p w:rsidR="00545E59" w:rsidRDefault="00545E59">
      <w:pPr>
        <w:pStyle w:val="ListParagraph"/>
        <w:numPr>
          <w:ilvl w:val="1"/>
          <w:numId w:val="1"/>
        </w:numPr>
        <w:tabs>
          <w:tab w:val="left" w:pos="1124"/>
        </w:tabs>
        <w:ind w:right="111" w:firstLine="708"/>
        <w:rPr>
          <w:sz w:val="28"/>
          <w:szCs w:val="28"/>
        </w:rPr>
      </w:pPr>
      <w:r>
        <w:rPr>
          <w:sz w:val="28"/>
          <w:szCs w:val="28"/>
        </w:rPr>
        <w:t>оценить результативность системы педагогической работы, направленной на формирование у воспитанников готовности к изучению технических наук средствами игрового оборудования на уровне дошкольного образования в соответствии с ФГОС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ДО;</w:t>
      </w:r>
    </w:p>
    <w:p w:rsidR="00545E59" w:rsidRDefault="00545E59">
      <w:pPr>
        <w:pStyle w:val="ListParagraph"/>
        <w:numPr>
          <w:ilvl w:val="1"/>
          <w:numId w:val="1"/>
        </w:numPr>
        <w:tabs>
          <w:tab w:val="left" w:pos="1208"/>
        </w:tabs>
        <w:ind w:right="116" w:firstLine="707"/>
        <w:rPr>
          <w:sz w:val="28"/>
          <w:szCs w:val="28"/>
        </w:rPr>
      </w:pPr>
      <w:r>
        <w:rPr>
          <w:sz w:val="28"/>
          <w:szCs w:val="28"/>
        </w:rPr>
        <w:t>тиражировать и распространить опыт инновационной педагогической деятельности.</w:t>
      </w:r>
    </w:p>
    <w:p w:rsidR="00545E59" w:rsidRDefault="00545E59">
      <w:pPr>
        <w:pStyle w:val="BodyText"/>
        <w:jc w:val="left"/>
        <w:rPr>
          <w:sz w:val="30"/>
          <w:szCs w:val="30"/>
        </w:rPr>
      </w:pPr>
    </w:p>
    <w:p w:rsidR="00545E59" w:rsidRDefault="00545E59">
      <w:pPr>
        <w:pStyle w:val="BodyText"/>
        <w:spacing w:before="10"/>
        <w:jc w:val="left"/>
        <w:rPr>
          <w:sz w:val="30"/>
          <w:szCs w:val="30"/>
        </w:rPr>
      </w:pPr>
    </w:p>
    <w:p w:rsidR="00545E59" w:rsidRDefault="00545E59">
      <w:pPr>
        <w:pStyle w:val="Heading1"/>
        <w:numPr>
          <w:ilvl w:val="0"/>
          <w:numId w:val="1"/>
        </w:numPr>
        <w:tabs>
          <w:tab w:val="left" w:pos="392"/>
        </w:tabs>
        <w:ind w:left="391" w:hanging="281"/>
      </w:pPr>
      <w:r>
        <w:t>Формы</w:t>
      </w:r>
      <w:r>
        <w:rPr>
          <w:spacing w:val="2"/>
        </w:rPr>
        <w:t xml:space="preserve"> </w:t>
      </w:r>
      <w:r>
        <w:t>реализации</w:t>
      </w:r>
    </w:p>
    <w:p w:rsidR="00545E59" w:rsidRDefault="00545E59">
      <w:pPr>
        <w:spacing w:before="38" w:line="276" w:lineRule="auto"/>
        <w:ind w:left="111" w:right="111"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Относительно педагогов: </w:t>
      </w:r>
      <w:r>
        <w:rPr>
          <w:i/>
          <w:iCs/>
          <w:sz w:val="28"/>
          <w:szCs w:val="28"/>
        </w:rPr>
        <w:t>интеграционная форма организации инновационной деятельности (матричная система организации с созданием проектных целевых групп во главе с руководителем проекта, выполняющим функцию координации)</w:t>
      </w:r>
    </w:p>
    <w:p w:rsidR="00545E59" w:rsidRDefault="00545E59">
      <w:pPr>
        <w:spacing w:line="278" w:lineRule="auto"/>
        <w:ind w:left="111" w:right="112"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Относительно детей: </w:t>
      </w:r>
      <w:r>
        <w:rPr>
          <w:i/>
          <w:iCs/>
          <w:sz w:val="28"/>
          <w:szCs w:val="28"/>
        </w:rPr>
        <w:t>детско-родительские проекты, лаборатории, творческие группы, занятия, досуговая деятельность</w:t>
      </w:r>
      <w:r>
        <w:rPr>
          <w:b/>
          <w:bCs/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мастерские, выставки, игровая деятельность, конкурсы и другие</w:t>
      </w:r>
    </w:p>
    <w:p w:rsidR="00545E59" w:rsidRDefault="00545E59">
      <w:pPr>
        <w:spacing w:line="278" w:lineRule="auto"/>
        <w:jc w:val="both"/>
        <w:rPr>
          <w:sz w:val="28"/>
          <w:szCs w:val="28"/>
        </w:rPr>
        <w:sectPr w:rsidR="00545E59">
          <w:footerReference w:type="default" r:id="rId7"/>
          <w:pgSz w:w="11910" w:h="16840"/>
          <w:pgMar w:top="540" w:right="740" w:bottom="960" w:left="1020" w:header="0" w:footer="778" w:gutter="0"/>
          <w:pgNumType w:start="2"/>
          <w:cols w:space="720"/>
        </w:sectPr>
      </w:pPr>
    </w:p>
    <w:p w:rsidR="00545E59" w:rsidRDefault="00545E59">
      <w:pPr>
        <w:pStyle w:val="ListParagraph"/>
        <w:numPr>
          <w:ilvl w:val="0"/>
          <w:numId w:val="1"/>
        </w:numPr>
        <w:tabs>
          <w:tab w:val="left" w:pos="552"/>
        </w:tabs>
        <w:spacing w:before="58" w:line="276" w:lineRule="auto"/>
        <w:ind w:left="111" w:right="111" w:firstLine="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Способы экспертизы </w:t>
      </w:r>
      <w:r>
        <w:rPr>
          <w:i/>
          <w:iCs/>
          <w:sz w:val="28"/>
          <w:szCs w:val="28"/>
        </w:rPr>
        <w:t>(средства контроля и обеспечения достижения результатов деятельности, позволяющие оценить соответствие критериям оценки результатов):</w:t>
      </w:r>
    </w:p>
    <w:p w:rsidR="00545E59" w:rsidRDefault="00545E59">
      <w:pPr>
        <w:pStyle w:val="ListParagraph"/>
        <w:numPr>
          <w:ilvl w:val="1"/>
          <w:numId w:val="1"/>
        </w:numPr>
        <w:tabs>
          <w:tab w:val="left" w:pos="1197"/>
        </w:tabs>
        <w:spacing w:before="2" w:line="276" w:lineRule="auto"/>
        <w:ind w:right="109" w:firstLine="708"/>
        <w:rPr>
          <w:sz w:val="28"/>
          <w:szCs w:val="28"/>
        </w:rPr>
      </w:pPr>
      <w:r>
        <w:rPr>
          <w:sz w:val="28"/>
          <w:szCs w:val="28"/>
        </w:rPr>
        <w:t>прямые показатели: результаты диагностического обследования основ технической грамотности и технической компетентности детей дошкольного возраста; изменения в структуре образовательного процесса в ДОУ, связанные с встраиванием технического контента образования; результаты участия детей, родителей, педагогов в конкурсах и других мероприятиях технической направленности; методическая компетентность педагогов в области технического творчества детей дошкольного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возраста;</w:t>
      </w:r>
    </w:p>
    <w:p w:rsidR="00545E59" w:rsidRDefault="00545E59">
      <w:pPr>
        <w:pStyle w:val="ListParagraph"/>
        <w:numPr>
          <w:ilvl w:val="1"/>
          <w:numId w:val="1"/>
        </w:numPr>
        <w:tabs>
          <w:tab w:val="left" w:pos="1149"/>
        </w:tabs>
        <w:spacing w:line="276" w:lineRule="auto"/>
        <w:ind w:right="113" w:firstLine="708"/>
        <w:rPr>
          <w:sz w:val="28"/>
          <w:szCs w:val="28"/>
        </w:rPr>
      </w:pPr>
      <w:r>
        <w:rPr>
          <w:sz w:val="28"/>
          <w:szCs w:val="28"/>
        </w:rPr>
        <w:t>косвенные показатели: успешность детей при обучении в ДОУ (высокая мотивация к образовательной деятельности, результаты детской деятельности и др.), востребованность инновационного опыта в субъектах РФ, результаты экспертизы программы и методических материалов.</w:t>
      </w:r>
    </w:p>
    <w:p w:rsidR="00545E59" w:rsidRDefault="00545E59">
      <w:pPr>
        <w:pStyle w:val="BodyText"/>
        <w:spacing w:before="11"/>
        <w:jc w:val="left"/>
        <w:rPr>
          <w:sz w:val="32"/>
          <w:szCs w:val="32"/>
        </w:rPr>
      </w:pPr>
    </w:p>
    <w:p w:rsidR="00545E59" w:rsidRDefault="00545E59">
      <w:pPr>
        <w:pStyle w:val="Heading1"/>
        <w:numPr>
          <w:ilvl w:val="0"/>
          <w:numId w:val="1"/>
        </w:numPr>
        <w:tabs>
          <w:tab w:val="left" w:pos="621"/>
        </w:tabs>
        <w:ind w:left="620" w:hanging="509"/>
      </w:pPr>
      <w:r>
        <w:t>Предполагаемые</w:t>
      </w:r>
      <w:r>
        <w:rPr>
          <w:spacing w:val="8"/>
        </w:rPr>
        <w:t xml:space="preserve"> </w:t>
      </w:r>
      <w:r>
        <w:t>изменения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системе</w:t>
      </w:r>
      <w:r>
        <w:rPr>
          <w:spacing w:val="8"/>
        </w:rPr>
        <w:t xml:space="preserve"> </w:t>
      </w:r>
      <w:r>
        <w:t>дошкольного</w:t>
      </w:r>
      <w:r>
        <w:rPr>
          <w:spacing w:val="14"/>
        </w:rPr>
        <w:t xml:space="preserve"> </w:t>
      </w:r>
      <w:r>
        <w:t>образования</w:t>
      </w:r>
    </w:p>
    <w:p w:rsidR="00545E59" w:rsidRDefault="00545E59">
      <w:pPr>
        <w:pStyle w:val="BodyText"/>
        <w:spacing w:before="38" w:line="278" w:lineRule="auto"/>
        <w:ind w:left="112" w:right="109" w:firstLine="708"/>
      </w:pPr>
      <w:r>
        <w:t>Обновление содержания дошкольного образования с учётом технического контента</w:t>
      </w:r>
    </w:p>
    <w:p w:rsidR="00545E59" w:rsidRDefault="00545E59" w:rsidP="00C62563">
      <w:pPr>
        <w:pStyle w:val="BodyText"/>
        <w:spacing w:line="276" w:lineRule="auto"/>
        <w:ind w:left="112" w:right="113" w:firstLine="708"/>
      </w:pPr>
      <w:r>
        <w:t>Формирование у детей готовности к изучению технических наук на уровне дошкольного образования средствами игрового оборудования в соответствии с ФГОС ДО</w:t>
      </w:r>
    </w:p>
    <w:p w:rsidR="00545E59" w:rsidRDefault="00545E59" w:rsidP="00C62563">
      <w:pPr>
        <w:pStyle w:val="BodyText"/>
        <w:spacing w:line="276" w:lineRule="auto"/>
        <w:ind w:right="113"/>
        <w:sectPr w:rsidR="00545E59">
          <w:pgSz w:w="11910" w:h="16840"/>
          <w:pgMar w:top="540" w:right="740" w:bottom="960" w:left="1020" w:header="0" w:footer="778" w:gutter="0"/>
          <w:cols w:space="720"/>
        </w:sectPr>
      </w:pPr>
    </w:p>
    <w:p w:rsidR="00545E59" w:rsidRDefault="00545E59" w:rsidP="00C62563">
      <w:pPr>
        <w:pStyle w:val="Heading1"/>
        <w:spacing w:before="62" w:after="52"/>
        <w:ind w:left="2113" w:right="2283"/>
      </w:pPr>
    </w:p>
    <w:sectPr w:rsidR="00545E59" w:rsidSect="00C62563">
      <w:footerReference w:type="default" r:id="rId8"/>
      <w:pgSz w:w="16840" w:h="11910" w:orient="landscape"/>
      <w:pgMar w:top="1060" w:right="320" w:bottom="900" w:left="920" w:header="0" w:footer="702" w:gutter="0"/>
      <w:pgNumType w:start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E59" w:rsidRDefault="00545E59" w:rsidP="00560EEF">
      <w:r>
        <w:separator/>
      </w:r>
    </w:p>
  </w:endnote>
  <w:endnote w:type="continuationSeparator" w:id="0">
    <w:p w:rsidR="00545E59" w:rsidRDefault="00545E59" w:rsidP="00560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E59" w:rsidRDefault="00545E59">
    <w:pPr>
      <w:pStyle w:val="BodyText"/>
      <w:spacing w:line="14" w:lineRule="auto"/>
      <w:jc w:val="lef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8pt;margin-top:791.9pt;width:10pt;height:15.3pt;z-index:-251656192;mso-position-horizontal-relative:page;mso-position-vertical-relative:page" filled="f" stroked="f">
          <v:textbox inset="0,0,0,0">
            <w:txbxContent>
              <w:p w:rsidR="00545E59" w:rsidRDefault="00545E59">
                <w:pPr>
                  <w:spacing w:before="10"/>
                  <w:ind w:left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2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E59" w:rsidRDefault="00545E59">
    <w:pPr>
      <w:pStyle w:val="BodyText"/>
      <w:spacing w:line="14" w:lineRule="auto"/>
      <w:jc w:val="lef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8.4pt;margin-top:545.3pt;width:10pt;height:15.3pt;z-index:-251654144;mso-position-horizontal-relative:page;mso-position-vertical-relative:page" filled="f" stroked="f">
          <v:textbox inset="0,0,0,0">
            <w:txbxContent>
              <w:p w:rsidR="00545E59" w:rsidRDefault="00545E59">
                <w:pPr>
                  <w:spacing w:before="10"/>
                  <w:ind w:left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4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E59" w:rsidRDefault="00545E59" w:rsidP="00560EEF">
      <w:r>
        <w:separator/>
      </w:r>
    </w:p>
  </w:footnote>
  <w:footnote w:type="continuationSeparator" w:id="0">
    <w:p w:rsidR="00545E59" w:rsidRDefault="00545E59" w:rsidP="00560E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D5C10"/>
    <w:multiLevelType w:val="hybridMultilevel"/>
    <w:tmpl w:val="FFFFFFFF"/>
    <w:lvl w:ilvl="0" w:tplc="293C3CB6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767834E4">
      <w:start w:val="1"/>
      <w:numFmt w:val="decimal"/>
      <w:lvlText w:val="%2)"/>
      <w:lvlJc w:val="left"/>
      <w:pPr>
        <w:ind w:left="111" w:hanging="409"/>
      </w:pPr>
      <w:rPr>
        <w:rFonts w:ascii="Times New Roman" w:eastAsia="Times New Roman" w:hAnsi="Times New Roman" w:hint="default"/>
        <w:spacing w:val="-35"/>
        <w:w w:val="100"/>
        <w:sz w:val="28"/>
        <w:szCs w:val="28"/>
      </w:rPr>
    </w:lvl>
    <w:lvl w:ilvl="2" w:tplc="88BADD7C">
      <w:numFmt w:val="bullet"/>
      <w:lvlText w:val="•"/>
      <w:lvlJc w:val="left"/>
      <w:pPr>
        <w:ind w:left="1483" w:hanging="409"/>
      </w:pPr>
      <w:rPr>
        <w:rFonts w:hint="default"/>
      </w:rPr>
    </w:lvl>
    <w:lvl w:ilvl="3" w:tplc="62689582">
      <w:numFmt w:val="bullet"/>
      <w:lvlText w:val="•"/>
      <w:lvlJc w:val="left"/>
      <w:pPr>
        <w:ind w:left="2566" w:hanging="409"/>
      </w:pPr>
      <w:rPr>
        <w:rFonts w:hint="default"/>
      </w:rPr>
    </w:lvl>
    <w:lvl w:ilvl="4" w:tplc="0B9CC828">
      <w:numFmt w:val="bullet"/>
      <w:lvlText w:val="•"/>
      <w:lvlJc w:val="left"/>
      <w:pPr>
        <w:ind w:left="3649" w:hanging="409"/>
      </w:pPr>
      <w:rPr>
        <w:rFonts w:hint="default"/>
      </w:rPr>
    </w:lvl>
    <w:lvl w:ilvl="5" w:tplc="318AD848">
      <w:numFmt w:val="bullet"/>
      <w:lvlText w:val="•"/>
      <w:lvlJc w:val="left"/>
      <w:pPr>
        <w:ind w:left="4732" w:hanging="409"/>
      </w:pPr>
      <w:rPr>
        <w:rFonts w:hint="default"/>
      </w:rPr>
    </w:lvl>
    <w:lvl w:ilvl="6" w:tplc="C4625CE2">
      <w:numFmt w:val="bullet"/>
      <w:lvlText w:val="•"/>
      <w:lvlJc w:val="left"/>
      <w:pPr>
        <w:ind w:left="5815" w:hanging="409"/>
      </w:pPr>
      <w:rPr>
        <w:rFonts w:hint="default"/>
      </w:rPr>
    </w:lvl>
    <w:lvl w:ilvl="7" w:tplc="D6CAC5F8">
      <w:numFmt w:val="bullet"/>
      <w:lvlText w:val="•"/>
      <w:lvlJc w:val="left"/>
      <w:pPr>
        <w:ind w:left="6898" w:hanging="409"/>
      </w:pPr>
      <w:rPr>
        <w:rFonts w:hint="default"/>
      </w:rPr>
    </w:lvl>
    <w:lvl w:ilvl="8" w:tplc="340C340E">
      <w:numFmt w:val="bullet"/>
      <w:lvlText w:val="•"/>
      <w:lvlJc w:val="left"/>
      <w:pPr>
        <w:ind w:left="7981" w:hanging="4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EEF"/>
    <w:rsid w:val="000F6903"/>
    <w:rsid w:val="00545E59"/>
    <w:rsid w:val="00560EEF"/>
    <w:rsid w:val="00575CA3"/>
    <w:rsid w:val="00C6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EEF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560EEF"/>
    <w:pPr>
      <w:ind w:left="395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C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60EEF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74C59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560EEF"/>
    <w:pPr>
      <w:ind w:left="111" w:firstLine="708"/>
      <w:jc w:val="both"/>
    </w:pPr>
  </w:style>
  <w:style w:type="paragraph" w:customStyle="1" w:styleId="TableParagraph">
    <w:name w:val="Table Paragraph"/>
    <w:basedOn w:val="Normal"/>
    <w:uiPriority w:val="99"/>
    <w:rsid w:val="00560EEF"/>
    <w:pPr>
      <w:spacing w:line="222" w:lineRule="exact"/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774</Words>
  <Characters>4418</Characters>
  <Application>Microsoft Office Outlook</Application>
  <DocSecurity>0</DocSecurity>
  <Lines>0</Lines>
  <Paragraphs>0</Paragraphs>
  <ScaleCrop>false</ScaleCrop>
  <Company>Alpha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Апробационная программа экспериментальных площадок </dc:title>
  <dc:subject/>
  <dc:creator>Наталья</dc:creator>
  <cp:keywords/>
  <dc:description/>
  <cp:lastModifiedBy>Admin</cp:lastModifiedBy>
  <cp:revision>2</cp:revision>
  <dcterms:created xsi:type="dcterms:W3CDTF">2019-05-31T21:43:00Z</dcterms:created>
  <dcterms:modified xsi:type="dcterms:W3CDTF">2019-05-31T20:45:00Z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для Word</vt:lpwstr>
  </property>
</Properties>
</file>